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C0A" w:rsidRDefault="00F82522" w:rsidP="00F82522">
      <w:pPr>
        <w:spacing w:after="0" w:line="240" w:lineRule="auto"/>
      </w:pPr>
      <w:r>
        <w:t>Notes décret SOLIDEO</w:t>
      </w:r>
    </w:p>
    <w:p w:rsidR="00F82522" w:rsidRPr="00A27960" w:rsidRDefault="00F82522" w:rsidP="00F82522">
      <w:pPr>
        <w:widowControl w:val="0"/>
        <w:autoSpaceDE w:val="0"/>
        <w:autoSpaceDN w:val="0"/>
        <w:adjustRightInd w:val="0"/>
        <w:spacing w:after="0" w:line="240" w:lineRule="auto"/>
        <w:rPr>
          <w:rFonts w:ascii="Arial" w:hAnsi="Arial" w:cs="Arial"/>
        </w:rPr>
      </w:pPr>
      <w:r w:rsidRPr="00A27960">
        <w:rPr>
          <w:rFonts w:ascii="Arial" w:hAnsi="Arial" w:cs="Arial"/>
          <w:b/>
          <w:bCs/>
        </w:rPr>
        <w:t>Article 1</w:t>
      </w:r>
      <w:r w:rsidRPr="00A27960">
        <w:rPr>
          <w:rFonts w:ascii="Arial" w:hAnsi="Arial" w:cs="Arial"/>
        </w:rPr>
        <w:t xml:space="preserve"> </w:t>
      </w:r>
    </w:p>
    <w:p w:rsidR="00F82522" w:rsidRDefault="00F82522" w:rsidP="00F82522">
      <w:pPr>
        <w:widowControl w:val="0"/>
        <w:autoSpaceDE w:val="0"/>
        <w:autoSpaceDN w:val="0"/>
        <w:adjustRightInd w:val="0"/>
        <w:spacing w:after="0" w:line="240" w:lineRule="auto"/>
        <w:rPr>
          <w:rFonts w:ascii="Arial" w:hAnsi="Arial" w:cs="Arial"/>
        </w:rPr>
      </w:pPr>
      <w:r w:rsidRPr="00A27960">
        <w:rPr>
          <w:rFonts w:ascii="Arial" w:hAnsi="Arial" w:cs="Arial"/>
        </w:rPr>
        <w:t>L’établissement public dénommé « Société de livraison des ouvrages olympiques » (SOLIDEO) est placé sous la tutelle conjointe des ministres chargés des sports, de l’urbanisme et du budget. </w:t>
      </w:r>
    </w:p>
    <w:p w:rsidR="00F82522" w:rsidRDefault="00F82522" w:rsidP="00F82522">
      <w:pPr>
        <w:widowControl w:val="0"/>
        <w:autoSpaceDE w:val="0"/>
        <w:autoSpaceDN w:val="0"/>
        <w:adjustRightInd w:val="0"/>
        <w:spacing w:after="0" w:line="240" w:lineRule="auto"/>
        <w:rPr>
          <w:rFonts w:ascii="Arial" w:hAnsi="Arial" w:cs="Arial"/>
        </w:rPr>
      </w:pPr>
    </w:p>
    <w:p w:rsidR="00F82522" w:rsidRDefault="00F82522" w:rsidP="00F82522">
      <w:pPr>
        <w:widowControl w:val="0"/>
        <w:autoSpaceDE w:val="0"/>
        <w:autoSpaceDN w:val="0"/>
        <w:adjustRightInd w:val="0"/>
        <w:spacing w:after="0" w:line="240" w:lineRule="auto"/>
        <w:rPr>
          <w:rFonts w:ascii="Arial" w:hAnsi="Arial" w:cs="Arial"/>
        </w:rPr>
      </w:pPr>
    </w:p>
    <w:p w:rsidR="00F82522" w:rsidRPr="00A27960" w:rsidRDefault="00F82522" w:rsidP="00F82522">
      <w:pPr>
        <w:widowControl w:val="0"/>
        <w:autoSpaceDE w:val="0"/>
        <w:autoSpaceDN w:val="0"/>
        <w:adjustRightInd w:val="0"/>
        <w:spacing w:after="0" w:line="240" w:lineRule="auto"/>
        <w:rPr>
          <w:rFonts w:ascii="Arial" w:hAnsi="Arial" w:cs="Arial"/>
        </w:rPr>
      </w:pPr>
      <w:r w:rsidRPr="00A27960">
        <w:rPr>
          <w:rFonts w:ascii="Arial" w:hAnsi="Arial" w:cs="Arial"/>
          <w:b/>
          <w:bCs/>
        </w:rPr>
        <w:t>Article 2</w:t>
      </w:r>
      <w:r w:rsidRPr="00A27960">
        <w:rPr>
          <w:rFonts w:ascii="Arial" w:hAnsi="Arial" w:cs="Arial"/>
        </w:rPr>
        <w:t xml:space="preserve"> </w:t>
      </w:r>
    </w:p>
    <w:p w:rsidR="00F82522" w:rsidRDefault="00F82522" w:rsidP="00F82522">
      <w:pPr>
        <w:widowControl w:val="0"/>
        <w:autoSpaceDE w:val="0"/>
        <w:autoSpaceDN w:val="0"/>
        <w:adjustRightInd w:val="0"/>
        <w:spacing w:after="0" w:line="240" w:lineRule="auto"/>
        <w:rPr>
          <w:rFonts w:ascii="Arial" w:hAnsi="Arial" w:cs="Arial"/>
        </w:rPr>
      </w:pPr>
      <w:r>
        <w:rPr>
          <w:rFonts w:ascii="Arial" w:hAnsi="Arial" w:cs="Arial"/>
        </w:rPr>
        <w:t xml:space="preserve">[…] </w:t>
      </w:r>
      <w:r w:rsidRPr="00A27960">
        <w:rPr>
          <w:rFonts w:ascii="Arial" w:hAnsi="Arial" w:cs="Arial"/>
        </w:rPr>
        <w:t>cet établissement veille à la livraison, dans les délais et les conditions, notamment en matière de développement durable, fixés par le Comité international olympique et le Comité d’organisation des jeux Olympiques et Paralympiques, de l’ensemble des ouvrages et veille à la réalisation de l’ensemble des opérations d’aménagement qui sont directement nécessaires à l’organisation et au déroulement des jeux Olympiques et Paralympiques 2024.</w:t>
      </w:r>
    </w:p>
    <w:p w:rsidR="003B57A6" w:rsidRDefault="003B57A6" w:rsidP="00F82522">
      <w:pPr>
        <w:widowControl w:val="0"/>
        <w:autoSpaceDE w:val="0"/>
        <w:autoSpaceDN w:val="0"/>
        <w:adjustRightInd w:val="0"/>
        <w:spacing w:after="0" w:line="240" w:lineRule="auto"/>
        <w:rPr>
          <w:rFonts w:ascii="Arial" w:hAnsi="Arial" w:cs="Arial"/>
        </w:rPr>
      </w:pP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b/>
          <w:bCs/>
        </w:rPr>
        <w:t>Article 3</w:t>
      </w:r>
      <w:r w:rsidRPr="00A27960">
        <w:rPr>
          <w:rFonts w:ascii="Arial" w:hAnsi="Arial" w:cs="Arial"/>
        </w:rPr>
        <w:t xml:space="preserve">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La Société de livraison des ouvrages olympiques est administrée par un conseil d’administration de trente-huit membres. Il est composé comme suit :</w:t>
      </w:r>
    </w:p>
    <w:p w:rsidR="003B57A6" w:rsidRPr="00A27960" w:rsidRDefault="003B57A6" w:rsidP="003B57A6">
      <w:pPr>
        <w:widowControl w:val="0"/>
        <w:autoSpaceDE w:val="0"/>
        <w:autoSpaceDN w:val="0"/>
        <w:adjustRightInd w:val="0"/>
        <w:spacing w:after="0" w:line="240" w:lineRule="auto"/>
        <w:rPr>
          <w:rFonts w:ascii="Arial" w:hAnsi="Arial" w:cs="Arial"/>
          <w:sz w:val="18"/>
        </w:rPr>
      </w:pPr>
      <w:r w:rsidRPr="00A27960">
        <w:rPr>
          <w:rFonts w:ascii="Arial" w:hAnsi="Arial" w:cs="Arial"/>
          <w:sz w:val="18"/>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1° Dix-neuf représentants de l’Etat désignés par arrêté conjoint du ministre chargé des sports et du ministre chargé de l’urbanisme sur proposition des ministres concernés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a) Trois représentants du ministre chargé des sports ;</w:t>
      </w:r>
      <w:r>
        <w:rPr>
          <w:rFonts w:ascii="Arial" w:hAnsi="Arial" w:cs="Arial"/>
        </w:rPr>
        <w:t xml:space="preserve"> </w:t>
      </w:r>
      <w:r w:rsidRPr="00A27960">
        <w:rPr>
          <w:rFonts w:ascii="Arial" w:hAnsi="Arial" w:cs="Arial"/>
        </w:rPr>
        <w:t>b) Trois représentants du ministre chargé de l’urbanisme ;</w:t>
      </w:r>
      <w:r>
        <w:rPr>
          <w:rFonts w:ascii="Arial" w:hAnsi="Arial" w:cs="Arial"/>
        </w:rPr>
        <w:t xml:space="preserve"> </w:t>
      </w:r>
      <w:r w:rsidRPr="00A27960">
        <w:rPr>
          <w:rFonts w:ascii="Arial" w:hAnsi="Arial" w:cs="Arial"/>
        </w:rPr>
        <w:t>c) Deux représentants du ministre chargé du logement ;</w:t>
      </w:r>
      <w:r>
        <w:rPr>
          <w:rFonts w:ascii="Arial" w:hAnsi="Arial" w:cs="Arial"/>
        </w:rPr>
        <w:t xml:space="preserve"> </w:t>
      </w:r>
      <w:r w:rsidRPr="00A27960">
        <w:rPr>
          <w:rFonts w:ascii="Arial" w:hAnsi="Arial" w:cs="Arial"/>
        </w:rPr>
        <w:t>d) Deux représentants du ministre chargé du budget ;</w:t>
      </w:r>
      <w:r>
        <w:rPr>
          <w:rFonts w:ascii="Arial" w:hAnsi="Arial" w:cs="Arial"/>
        </w:rPr>
        <w:t xml:space="preserve"> </w:t>
      </w:r>
      <w:r w:rsidRPr="00A27960">
        <w:rPr>
          <w:rFonts w:ascii="Arial" w:hAnsi="Arial" w:cs="Arial"/>
        </w:rPr>
        <w:t>e) Deux représentants du ministre chargé du développement durable ;</w:t>
      </w:r>
      <w:r>
        <w:rPr>
          <w:rFonts w:ascii="Arial" w:hAnsi="Arial" w:cs="Arial"/>
        </w:rPr>
        <w:t xml:space="preserve"> </w:t>
      </w:r>
      <w:r w:rsidRPr="00A27960">
        <w:rPr>
          <w:rFonts w:ascii="Arial" w:hAnsi="Arial" w:cs="Arial"/>
        </w:rPr>
        <w:t>f) Un représentant du ministre chargé des transports ;</w:t>
      </w:r>
      <w:r>
        <w:rPr>
          <w:rFonts w:ascii="Arial" w:hAnsi="Arial" w:cs="Arial"/>
        </w:rPr>
        <w:t xml:space="preserve"> </w:t>
      </w:r>
      <w:r w:rsidRPr="00A27960">
        <w:rPr>
          <w:rFonts w:ascii="Arial" w:hAnsi="Arial" w:cs="Arial"/>
        </w:rPr>
        <w:t>g) Un représentant du ministre chargé de l’économie ;</w:t>
      </w:r>
      <w:r>
        <w:rPr>
          <w:rFonts w:ascii="Arial" w:hAnsi="Arial" w:cs="Arial"/>
        </w:rPr>
        <w:t xml:space="preserve"> </w:t>
      </w:r>
      <w:r w:rsidRPr="00A27960">
        <w:rPr>
          <w:rFonts w:ascii="Arial" w:hAnsi="Arial" w:cs="Arial"/>
        </w:rPr>
        <w:t>h) Un représentant du ministre de l’intérieur ;</w:t>
      </w:r>
      <w:r>
        <w:rPr>
          <w:rFonts w:ascii="Arial" w:hAnsi="Arial" w:cs="Arial"/>
        </w:rPr>
        <w:t xml:space="preserve"> </w:t>
      </w:r>
      <w:r w:rsidRPr="00A27960">
        <w:rPr>
          <w:rFonts w:ascii="Arial" w:hAnsi="Arial" w:cs="Arial"/>
        </w:rPr>
        <w:t>i) Un représentant du ministre chargé des personnes handicapées ;</w:t>
      </w:r>
      <w:r>
        <w:rPr>
          <w:rFonts w:ascii="Arial" w:hAnsi="Arial" w:cs="Arial"/>
        </w:rPr>
        <w:t xml:space="preserve"> </w:t>
      </w:r>
      <w:r w:rsidRPr="00A27960">
        <w:rPr>
          <w:rFonts w:ascii="Arial" w:hAnsi="Arial" w:cs="Arial"/>
        </w:rPr>
        <w:t>j) Un représentant du ministre chargé des collectivités territoriales ;</w:t>
      </w:r>
      <w:r>
        <w:rPr>
          <w:rFonts w:ascii="Arial" w:hAnsi="Arial" w:cs="Arial"/>
        </w:rPr>
        <w:t xml:space="preserve"> </w:t>
      </w:r>
      <w:r w:rsidRPr="00A27960">
        <w:rPr>
          <w:rFonts w:ascii="Arial" w:hAnsi="Arial" w:cs="Arial"/>
        </w:rPr>
        <w:t>k) Un représentant du ministre chargé de la culture ;</w:t>
      </w:r>
      <w:r>
        <w:rPr>
          <w:rFonts w:ascii="Arial" w:hAnsi="Arial" w:cs="Arial"/>
        </w:rPr>
        <w:t xml:space="preserve"> </w:t>
      </w:r>
      <w:r w:rsidRPr="00A27960">
        <w:rPr>
          <w:rFonts w:ascii="Arial" w:hAnsi="Arial" w:cs="Arial"/>
        </w:rPr>
        <w:t>l) Le délégué interministériel aux jeux Olympiques et Paralympiques 2024 ;</w:t>
      </w:r>
    </w:p>
    <w:p w:rsidR="003B57A6" w:rsidRPr="00A27960" w:rsidRDefault="003B57A6" w:rsidP="003B57A6">
      <w:pPr>
        <w:widowControl w:val="0"/>
        <w:autoSpaceDE w:val="0"/>
        <w:autoSpaceDN w:val="0"/>
        <w:adjustRightInd w:val="0"/>
        <w:spacing w:after="0" w:line="240" w:lineRule="auto"/>
        <w:rPr>
          <w:rFonts w:ascii="Arial" w:hAnsi="Arial" w:cs="Arial"/>
          <w:sz w:val="20"/>
        </w:rPr>
      </w:pPr>
      <w:r w:rsidRPr="00A27960">
        <w:rPr>
          <w:rFonts w:ascii="Arial" w:hAnsi="Arial" w:cs="Arial"/>
          <w:sz w:val="20"/>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2° Douze représentants des collectivités territoriales et de leurs établissements publics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a) Le maire de Paris;</w:t>
      </w:r>
      <w:r>
        <w:rPr>
          <w:rFonts w:ascii="Arial" w:hAnsi="Arial" w:cs="Arial"/>
        </w:rPr>
        <w:t xml:space="preserve"> </w:t>
      </w:r>
      <w:r w:rsidRPr="00A27960">
        <w:rPr>
          <w:rFonts w:ascii="Arial" w:hAnsi="Arial" w:cs="Arial"/>
        </w:rPr>
        <w:t>b) Le président du conseil régional d’Ile-de-France;</w:t>
      </w:r>
      <w:r>
        <w:rPr>
          <w:rFonts w:ascii="Arial" w:hAnsi="Arial" w:cs="Arial"/>
        </w:rPr>
        <w:t xml:space="preserve"> </w:t>
      </w:r>
      <w:r w:rsidRPr="00A27960">
        <w:rPr>
          <w:rFonts w:ascii="Arial" w:hAnsi="Arial" w:cs="Arial"/>
        </w:rPr>
        <w:t>c) Le président du conseil départemental de Seine-Saint-Denis</w:t>
      </w:r>
      <w:r>
        <w:rPr>
          <w:rFonts w:ascii="Arial" w:hAnsi="Arial" w:cs="Arial"/>
        </w:rPr>
        <w:t xml:space="preserve"> </w:t>
      </w:r>
      <w:r w:rsidRPr="00A27960">
        <w:rPr>
          <w:rFonts w:ascii="Arial" w:hAnsi="Arial" w:cs="Arial"/>
        </w:rPr>
        <w:t>;</w:t>
      </w:r>
      <w:r>
        <w:rPr>
          <w:rFonts w:ascii="Arial" w:hAnsi="Arial" w:cs="Arial"/>
        </w:rPr>
        <w:t xml:space="preserve"> </w:t>
      </w:r>
      <w:r w:rsidRPr="00A27960">
        <w:rPr>
          <w:rFonts w:ascii="Arial" w:hAnsi="Arial" w:cs="Arial"/>
        </w:rPr>
        <w:t>d) Le président du conseil départemental des Hauts-de-Seine ;</w:t>
      </w:r>
      <w:r>
        <w:rPr>
          <w:rFonts w:ascii="Arial" w:hAnsi="Arial" w:cs="Arial"/>
        </w:rPr>
        <w:t xml:space="preserve"> </w:t>
      </w:r>
      <w:r w:rsidRPr="00A27960">
        <w:rPr>
          <w:rFonts w:ascii="Arial" w:hAnsi="Arial" w:cs="Arial"/>
        </w:rPr>
        <w:t>e) Le président de l’établissement public territorial Plaine Commun</w:t>
      </w:r>
      <w:r>
        <w:rPr>
          <w:rFonts w:ascii="Arial" w:hAnsi="Arial" w:cs="Arial"/>
        </w:rPr>
        <w:t xml:space="preserve">e </w:t>
      </w:r>
      <w:r w:rsidRPr="00A27960">
        <w:rPr>
          <w:rFonts w:ascii="Arial" w:hAnsi="Arial" w:cs="Arial"/>
        </w:rPr>
        <w:t>;</w:t>
      </w:r>
      <w:r>
        <w:rPr>
          <w:rFonts w:ascii="Arial" w:hAnsi="Arial" w:cs="Arial"/>
        </w:rPr>
        <w:t xml:space="preserve"> </w:t>
      </w:r>
      <w:r w:rsidRPr="00A27960">
        <w:rPr>
          <w:rFonts w:ascii="Arial" w:hAnsi="Arial" w:cs="Arial"/>
        </w:rPr>
        <w:t>f) Le président de la Métropole du Grand Paris ;</w:t>
      </w:r>
      <w:r>
        <w:rPr>
          <w:rFonts w:ascii="Arial" w:hAnsi="Arial" w:cs="Arial"/>
        </w:rPr>
        <w:t xml:space="preserve"> </w:t>
      </w:r>
      <w:r w:rsidRPr="00A27960">
        <w:rPr>
          <w:rFonts w:ascii="Arial" w:hAnsi="Arial" w:cs="Arial"/>
        </w:rPr>
        <w:t>g) Le président de l’établissement public territorial Paris Terres d’Envol  ;</w:t>
      </w:r>
      <w:r>
        <w:rPr>
          <w:rFonts w:ascii="Arial" w:hAnsi="Arial" w:cs="Arial"/>
        </w:rPr>
        <w:t xml:space="preserve"> </w:t>
      </w:r>
      <w:r w:rsidRPr="00A27960">
        <w:rPr>
          <w:rFonts w:ascii="Arial" w:hAnsi="Arial" w:cs="Arial"/>
        </w:rPr>
        <w:t>h) Le maire de Marseille ;</w:t>
      </w:r>
      <w:r>
        <w:rPr>
          <w:rFonts w:ascii="Arial" w:hAnsi="Arial" w:cs="Arial"/>
        </w:rPr>
        <w:t xml:space="preserve"> </w:t>
      </w:r>
      <w:r w:rsidRPr="00A27960">
        <w:rPr>
          <w:rFonts w:ascii="Arial" w:hAnsi="Arial" w:cs="Arial"/>
        </w:rPr>
        <w:t>i) Le maire du Bourget ;</w:t>
      </w:r>
      <w:r>
        <w:rPr>
          <w:rFonts w:ascii="Arial" w:hAnsi="Arial" w:cs="Arial"/>
        </w:rPr>
        <w:t xml:space="preserve"> </w:t>
      </w:r>
      <w:r w:rsidRPr="00A27960">
        <w:rPr>
          <w:rFonts w:ascii="Arial" w:hAnsi="Arial" w:cs="Arial"/>
        </w:rPr>
        <w:t>j) Le maire de Dugny</w:t>
      </w:r>
      <w:r>
        <w:rPr>
          <w:rFonts w:ascii="Arial" w:hAnsi="Arial" w:cs="Arial"/>
        </w:rPr>
        <w:t xml:space="preserve"> </w:t>
      </w:r>
      <w:r w:rsidRPr="00A27960">
        <w:rPr>
          <w:rFonts w:ascii="Arial" w:hAnsi="Arial" w:cs="Arial"/>
        </w:rPr>
        <w:t>;</w:t>
      </w:r>
      <w:r>
        <w:rPr>
          <w:rFonts w:ascii="Arial" w:hAnsi="Arial" w:cs="Arial"/>
        </w:rPr>
        <w:t xml:space="preserve"> </w:t>
      </w:r>
      <w:r w:rsidRPr="00A27960">
        <w:rPr>
          <w:rFonts w:ascii="Arial" w:hAnsi="Arial" w:cs="Arial"/>
        </w:rPr>
        <w:t>k) Le président du conseil départemental des Yvelines</w:t>
      </w:r>
      <w:r>
        <w:rPr>
          <w:rFonts w:ascii="Arial" w:hAnsi="Arial" w:cs="Arial"/>
        </w:rPr>
        <w:t xml:space="preserve"> </w:t>
      </w:r>
      <w:r w:rsidRPr="00A27960">
        <w:rPr>
          <w:rFonts w:ascii="Arial" w:hAnsi="Arial" w:cs="Arial"/>
        </w:rPr>
        <w:t>;</w:t>
      </w:r>
      <w:r>
        <w:rPr>
          <w:rFonts w:ascii="Arial" w:hAnsi="Arial" w:cs="Arial"/>
        </w:rPr>
        <w:t xml:space="preserve"> </w:t>
      </w:r>
      <w:r w:rsidRPr="00A27960">
        <w:rPr>
          <w:rFonts w:ascii="Arial" w:hAnsi="Arial" w:cs="Arial"/>
        </w:rPr>
        <w:t>l) Le président de communauté d’agglomération de Saint-Quentin-en-Yvelines</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 xml:space="preserve">3° Le président du </w:t>
      </w:r>
      <w:r>
        <w:rPr>
          <w:rFonts w:ascii="Arial" w:hAnsi="Arial" w:cs="Arial"/>
        </w:rPr>
        <w:t>COJOP</w:t>
      </w:r>
      <w:r w:rsidRPr="00A27960">
        <w:rPr>
          <w:rFonts w:ascii="Arial" w:hAnsi="Arial" w:cs="Arial"/>
        </w:rPr>
        <w:t xml:space="preserve">, le président du </w:t>
      </w:r>
      <w:r>
        <w:rPr>
          <w:rFonts w:ascii="Arial" w:hAnsi="Arial" w:cs="Arial"/>
        </w:rPr>
        <w:t>CNOSF</w:t>
      </w:r>
      <w:r w:rsidRPr="00A27960">
        <w:rPr>
          <w:rFonts w:ascii="Arial" w:hAnsi="Arial" w:cs="Arial"/>
        </w:rPr>
        <w:t xml:space="preserve"> et le président du Comité paralympique et sportif français sont membres du conseil d’administration en qualité de personnalités qualifiées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4° Deux représentants élus par le personnel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5° Deux personnalités qualifiées désignées par le Premier ministre, choisies l’une parmi les représentants des organisations représentatives des salariés, l’autre parmi les représentants des organisations représentatives des employeurs.</w:t>
      </w:r>
    </w:p>
    <w:p w:rsidR="003B57A6" w:rsidRPr="00A27960" w:rsidRDefault="003B57A6" w:rsidP="00F82522">
      <w:pPr>
        <w:widowControl w:val="0"/>
        <w:autoSpaceDE w:val="0"/>
        <w:autoSpaceDN w:val="0"/>
        <w:adjustRightInd w:val="0"/>
        <w:spacing w:after="0" w:line="240" w:lineRule="auto"/>
        <w:rPr>
          <w:rFonts w:ascii="Arial" w:hAnsi="Arial" w:cs="Arial"/>
        </w:rPr>
      </w:pPr>
    </w:p>
    <w:p w:rsidR="00F82522" w:rsidRPr="00A27960" w:rsidRDefault="00F82522" w:rsidP="00F82522">
      <w:pPr>
        <w:widowControl w:val="0"/>
        <w:autoSpaceDE w:val="0"/>
        <w:autoSpaceDN w:val="0"/>
        <w:adjustRightInd w:val="0"/>
        <w:spacing w:after="0" w:line="240" w:lineRule="auto"/>
        <w:rPr>
          <w:rFonts w:ascii="Arial" w:hAnsi="Arial" w:cs="Arial"/>
        </w:rPr>
      </w:pPr>
      <w:r w:rsidRPr="00A27960">
        <w:rPr>
          <w:rFonts w:ascii="Arial" w:hAnsi="Arial" w:cs="Arial"/>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b/>
          <w:bCs/>
        </w:rPr>
        <w:t>Article 8</w:t>
      </w:r>
      <w:r w:rsidRPr="00A27960">
        <w:rPr>
          <w:rFonts w:ascii="Arial" w:hAnsi="Arial" w:cs="Arial"/>
        </w:rPr>
        <w:t xml:space="preserve">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 </w:t>
      </w:r>
    </w:p>
    <w:p w:rsidR="003B57A6" w:rsidRPr="00A27960" w:rsidRDefault="003B57A6" w:rsidP="003B57A6">
      <w:pPr>
        <w:widowControl w:val="0"/>
        <w:autoSpaceDE w:val="0"/>
        <w:autoSpaceDN w:val="0"/>
        <w:adjustRightInd w:val="0"/>
        <w:spacing w:after="0" w:line="240" w:lineRule="auto"/>
        <w:rPr>
          <w:rFonts w:ascii="Arial" w:hAnsi="Arial" w:cs="Arial"/>
        </w:rPr>
      </w:pPr>
      <w:r w:rsidRPr="00A27960">
        <w:rPr>
          <w:rFonts w:ascii="Arial" w:hAnsi="Arial" w:cs="Arial"/>
        </w:rPr>
        <w:t>Des conventions entre l’établissement, l’Etat et les collectivités territoriales et établissements publics de coopération intercommunale sur le territoire desquels se dérouleront des événements liés aux jeux Olympiques et Paralympiques fixent les contributions financières de chacune des parties à la réalisation des missions de l’établissement public. </w:t>
      </w:r>
    </w:p>
    <w:p w:rsidR="00F82522" w:rsidRDefault="00F82522" w:rsidP="00F82522">
      <w:pPr>
        <w:widowControl w:val="0"/>
        <w:autoSpaceDE w:val="0"/>
        <w:autoSpaceDN w:val="0"/>
        <w:adjustRightInd w:val="0"/>
        <w:spacing w:after="0" w:line="240" w:lineRule="auto"/>
        <w:rPr>
          <w:rFonts w:ascii="Arial" w:hAnsi="Arial" w:cs="Arial"/>
        </w:rPr>
      </w:pPr>
    </w:p>
    <w:p w:rsidR="00E702C3" w:rsidRDefault="00E702C3" w:rsidP="00E702C3">
      <w:pPr>
        <w:widowControl w:val="0"/>
        <w:autoSpaceDE w:val="0"/>
        <w:autoSpaceDN w:val="0"/>
        <w:adjustRightInd w:val="0"/>
        <w:spacing w:after="0" w:line="240" w:lineRule="auto"/>
        <w:rPr>
          <w:rFonts w:ascii="Arial" w:hAnsi="Arial" w:cs="Arial"/>
          <w:b/>
          <w:bCs/>
        </w:rPr>
      </w:pP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b/>
          <w:bCs/>
        </w:rPr>
        <w:lastRenderedPageBreak/>
        <w:t>Article 9</w:t>
      </w:r>
      <w:r w:rsidRPr="00A27960">
        <w:rPr>
          <w:rFonts w:ascii="Arial" w:hAnsi="Arial" w:cs="Arial"/>
        </w:rPr>
        <w:t xml:space="preserv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Le conseil d’administration règle par ses délibérations les affaires de l’établissement. Il exerce, notamment, les attributions suivantes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 Il délibère sur les orientations générales de l’établissement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2° Il adopte le règlement intérieur de l’établissement et le règlement intérieur du conseil d’administration qui définit notamment les conditions de fonctionnement du comité de pilotage prévu à l’article 11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3° Il arrête le règlement financier de l’établissement et se prononce sur l’affectation du résultat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4° Il autorise la conclusion des conventions conclues avec le Comité d’organisation des jeux Olympiques et Paralympiques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5° Il autorise la conclusion des conventions conclues entre l’établissement, le Comité d’organisation des jeux Olympiques et Paralympiques et les maîtres d’ouvrage et maîtres d’ouvrage délégués responsables des ouvrages et des opérations d’aménagement nécessaires à l’organisation des jeux Olympiques et Paralympiques 2024, y compris celles passées avec ses filiales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6° Il détermine la nature des conventions nécessaires au fonctionnement de l’établissement soumises à délibération préalable et spéciale du conseil, dans la limite, le cas échéant, d’un montant qu’il fixe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7° Il approuve les conventions passées avec l’Etat, les collectivités territoriales et les établissements publics intéressés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8° Il vote le budget et ses modifications. Il arrête le compte financier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9° Il constate la défaillance des collectivités chargées de la réalisation des ouvrages mentionnés à l’article 2, se prononce sur toute mesure nécessaire de substitution au maître d’ouvrage en application du 3° du II de l’article 53 de la loi du 28 février 2017 précitée et approuve les conventions qui en résultent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10° Il autorise les emprunts, l’octroi ou la constitution de toute sûreté ou garantie personnelle ou réelle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11° Il approuve les transactions et le recours à l’arbitrage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xml:space="preserve">12° Il fixe les conditions dans lesquelles il peut être </w:t>
      </w:r>
      <w:proofErr w:type="spellStart"/>
      <w:r w:rsidRPr="00A27960">
        <w:rPr>
          <w:rFonts w:ascii="Arial" w:hAnsi="Arial" w:cs="Arial"/>
        </w:rPr>
        <w:t>esté</w:t>
      </w:r>
      <w:proofErr w:type="spellEnd"/>
      <w:r w:rsidRPr="00A27960">
        <w:rPr>
          <w:rFonts w:ascii="Arial" w:hAnsi="Arial" w:cs="Arial"/>
        </w:rPr>
        <w:t xml:space="preserve"> en justice pour le compte de l’établissement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13° Il décide de la création ou la cession de sociétés filiales et la prise, l’extension ou la cession de participations financières dans des sociétés, groupements et organismes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14° Il peut prévoir la création de comités spécialisés dont il définit l’objet, la composition, les modalités de fonctionnement et de compte rendu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15° Il détermine les conditions générales de recrutement, d’emploi et de rémunération du personnel, lequel est placé sous l’autorité du directeur général exécutif ;</w:t>
      </w:r>
    </w:p>
    <w:p w:rsidR="00B810D8" w:rsidRDefault="00B810D8" w:rsidP="00F82522">
      <w:pPr>
        <w:widowControl w:val="0"/>
        <w:autoSpaceDE w:val="0"/>
        <w:autoSpaceDN w:val="0"/>
        <w:adjustRightInd w:val="0"/>
        <w:spacing w:after="0" w:line="240" w:lineRule="auto"/>
        <w:rPr>
          <w:rFonts w:ascii="Arial" w:hAnsi="Arial" w:cs="Arial"/>
        </w:rPr>
      </w:pP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b/>
          <w:bCs/>
        </w:rPr>
        <w:t>Article 12</w:t>
      </w:r>
      <w:r w:rsidRPr="00A27960">
        <w:rPr>
          <w:rFonts w:ascii="Arial" w:hAnsi="Arial" w:cs="Arial"/>
        </w:rPr>
        <w:t xml:space="preserv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Il est créé un comité d’éthique constitué de six membres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lastRenderedPageBreak/>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 Un membre désigné par le président du Comité de gouvernance publique de l’organisation pour la coopération et le développement économique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2° Un membre du Conseil d’Etat ou du corps des magistrats des tribunaux administratifs et des cours administratives d’appel et qui, dans ce cas, détient le grade de président, désigné par le vice-président du Conseil d’Etat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3° Un membre ou membre honoraire de la Cour de cassation désigné par le premier président de la Cour de cassation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4° Un membre ou membre honoraire de la Cour des comptes désigné par le premier président de la Cour des comptes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5° Un membre désigné par le Défenseur des droits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6° Un membre désigné par le directeur de l’Agence française anticorruption.</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Le comité d’éthique est présidé par un de ses membres désigné par arrêté du Premier ministre. Ses modalités de fonctionnement, de saisine et d’expression des avis sont déterminées par son règlement intérieur.</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Ce comité est saisi pour avis par le conseil d’administration des projets de délibérations relatives à la politique éthique de l’établissement et de ses filiales et relatives au respect par ses collaborateurs des principes individuels et collectifs sur lesquels il fonde son action.</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Le conseil d’administration approuve une charte d’éthique après avis du comité d’éthique. Le comité d’éthique peut être saisi pour avis par le conseil d’administration, les collaborateurs, les administrateurs ou les partenaires de l’établissement de toute question relative à la prévention des conflits d’intérêts, à l’objectivité et à la transparence des processus de décision.</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Il se réunit au moins une fois par an.</w:t>
      </w:r>
    </w:p>
    <w:p w:rsidR="00E702C3" w:rsidRDefault="00E702C3" w:rsidP="00F82522">
      <w:pPr>
        <w:widowControl w:val="0"/>
        <w:autoSpaceDE w:val="0"/>
        <w:autoSpaceDN w:val="0"/>
        <w:adjustRightInd w:val="0"/>
        <w:spacing w:after="0" w:line="240" w:lineRule="auto"/>
        <w:rPr>
          <w:rFonts w:ascii="Arial" w:hAnsi="Arial" w:cs="Arial"/>
        </w:rPr>
      </w:pP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b/>
          <w:bCs/>
        </w:rPr>
        <w:t>Article 14</w:t>
      </w:r>
      <w:r w:rsidRPr="00A27960">
        <w:rPr>
          <w:rFonts w:ascii="Arial" w:hAnsi="Arial" w:cs="Arial"/>
        </w:rPr>
        <w:t xml:space="preserv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La Société de livraison des ouvrages olympiques est habilitée à créer des filiales et à acquérir ou céder des participations dans des sociétés, groupements ou organismes dont l’objet concourt directement à la réalisation de ses missions.</w:t>
      </w:r>
    </w:p>
    <w:p w:rsidR="00E702C3" w:rsidRDefault="00E702C3" w:rsidP="00F82522">
      <w:pPr>
        <w:widowControl w:val="0"/>
        <w:autoSpaceDE w:val="0"/>
        <w:autoSpaceDN w:val="0"/>
        <w:adjustRightInd w:val="0"/>
        <w:spacing w:after="0" w:line="240" w:lineRule="auto"/>
        <w:rPr>
          <w:rFonts w:ascii="Arial" w:hAnsi="Arial" w:cs="Arial"/>
        </w:rPr>
      </w:pP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b/>
          <w:bCs/>
        </w:rPr>
        <w:t>Article 15</w:t>
      </w:r>
      <w:r w:rsidRPr="00A27960">
        <w:rPr>
          <w:rFonts w:ascii="Arial" w:hAnsi="Arial" w:cs="Arial"/>
        </w:rPr>
        <w:t xml:space="preserve">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Les conventions conclues avec le Comité d’organisation des jeux Olympiques et Paralympiques, les maîtres d’ouvrage et maîtres d’ouvrage délégués responsables déterminent en particulier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 </w:t>
      </w:r>
    </w:p>
    <w:p w:rsidR="00E702C3" w:rsidRPr="00A27960" w:rsidRDefault="00E702C3" w:rsidP="00E702C3">
      <w:pPr>
        <w:widowControl w:val="0"/>
        <w:autoSpaceDE w:val="0"/>
        <w:autoSpaceDN w:val="0"/>
        <w:adjustRightInd w:val="0"/>
        <w:spacing w:after="0" w:line="240" w:lineRule="auto"/>
        <w:rPr>
          <w:rFonts w:ascii="Arial" w:hAnsi="Arial" w:cs="Arial"/>
        </w:rPr>
      </w:pPr>
      <w:r w:rsidRPr="00A27960">
        <w:rPr>
          <w:rFonts w:ascii="Arial" w:hAnsi="Arial" w:cs="Arial"/>
        </w:rPr>
        <w:t>1° La programmation physique et financière, les modalités de compte rendu et de suivi de sa réalisation et les calendriers de livraison des ouvrages et de réalisation des opérations d’aménagement nécessaires à l’organisation des jeux Olympiques et Paralympiques de 2024, ainsi que les modalités de leur reconversion dans le cadre d’un projet répondant aux exigences de développement durable et de viabilité économique de l’exploitation des infrastructures ainsi réalisées ;</w:t>
      </w:r>
    </w:p>
    <w:p w:rsidR="00E702C3" w:rsidRPr="00A27960" w:rsidRDefault="00E702C3" w:rsidP="00E702C3">
      <w:pPr>
        <w:widowControl w:val="0"/>
        <w:autoSpaceDE w:val="0"/>
        <w:autoSpaceDN w:val="0"/>
        <w:adjustRightInd w:val="0"/>
        <w:spacing w:after="0" w:line="240" w:lineRule="auto"/>
        <w:rPr>
          <w:rFonts w:ascii="Arial" w:hAnsi="Arial" w:cs="Arial"/>
        </w:rPr>
      </w:pPr>
      <w:r>
        <w:rPr>
          <w:rFonts w:ascii="Arial" w:hAnsi="Arial" w:cs="Arial"/>
        </w:rPr>
        <w:t>[…]</w:t>
      </w:r>
    </w:p>
    <w:p w:rsidR="00E702C3" w:rsidRPr="00F82522" w:rsidRDefault="00E702C3" w:rsidP="00F82522">
      <w:pPr>
        <w:widowControl w:val="0"/>
        <w:autoSpaceDE w:val="0"/>
        <w:autoSpaceDN w:val="0"/>
        <w:adjustRightInd w:val="0"/>
        <w:spacing w:after="0" w:line="240" w:lineRule="auto"/>
        <w:rPr>
          <w:rFonts w:ascii="Arial" w:hAnsi="Arial" w:cs="Arial"/>
        </w:rPr>
      </w:pPr>
      <w:r w:rsidRPr="00A27960">
        <w:rPr>
          <w:rFonts w:ascii="Arial" w:hAnsi="Arial" w:cs="Arial"/>
        </w:rPr>
        <w:t>4° Les conditions dans lesquelles la méconnaissance du calendrier de livraison ou de réalisation des ouvrages, le dépassement des budgets prévisionnels ou tout autre élément conduisant à un retard ou à une interruption des travaux, constitue une défaillance grave de nature à justifier une substitution de l’établissement au maître d’ouvrage. </w:t>
      </w:r>
      <w:bookmarkStart w:id="0" w:name="_GoBack"/>
      <w:bookmarkEnd w:id="0"/>
    </w:p>
    <w:sectPr w:rsidR="00E702C3" w:rsidRPr="00F82522" w:rsidSect="00F8252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22"/>
    <w:rsid w:val="002E0C0A"/>
    <w:rsid w:val="003B57A6"/>
    <w:rsid w:val="00B810D8"/>
    <w:rsid w:val="00E702C3"/>
    <w:rsid w:val="00F82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79D4"/>
  <w15:chartTrackingRefBased/>
  <w15:docId w15:val="{F6A8E092-579E-41BB-A57E-4F813002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1360</Words>
  <Characters>7483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hugo</cp:lastModifiedBy>
  <cp:revision>2</cp:revision>
  <dcterms:created xsi:type="dcterms:W3CDTF">2018-01-14T12:27:00Z</dcterms:created>
  <dcterms:modified xsi:type="dcterms:W3CDTF">2018-01-14T12:54:00Z</dcterms:modified>
</cp:coreProperties>
</file>